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3D" w:rsidRPr="004636F7" w:rsidRDefault="00967D3D" w:rsidP="004636F7">
      <w:pPr>
        <w:jc w:val="center"/>
        <w:rPr>
          <w:b/>
          <w:i/>
          <w:sz w:val="32"/>
          <w:szCs w:val="32"/>
        </w:rPr>
      </w:pPr>
      <w:bookmarkStart w:id="0" w:name="_GoBack"/>
      <w:bookmarkEnd w:id="0"/>
      <w:r w:rsidRPr="004636F7">
        <w:rPr>
          <w:b/>
          <w:i/>
          <w:sz w:val="32"/>
          <w:szCs w:val="32"/>
        </w:rPr>
        <w:t>Thevenin and Norton Equivalents</w:t>
      </w:r>
    </w:p>
    <w:p w:rsidR="00967D3D" w:rsidRDefault="00967D3D" w:rsidP="00967D3D">
      <w:pPr>
        <w:rPr>
          <w:b/>
          <w:i/>
          <w:sz w:val="28"/>
          <w:szCs w:val="32"/>
        </w:rPr>
      </w:pPr>
    </w:p>
    <w:p w:rsidR="00967D3D" w:rsidRPr="00967D3D" w:rsidRDefault="00967D3D" w:rsidP="00967D3D">
      <w:pPr>
        <w:rPr>
          <w:szCs w:val="32"/>
        </w:rPr>
      </w:pPr>
      <w:r w:rsidRPr="00967D3D">
        <w:rPr>
          <w:szCs w:val="32"/>
        </w:rPr>
        <w:t>This tutorial is intended to show how Thevenin and Norton Equivalent Circuits can be calculated. In your lecture class, you will cover these topics in more detail, but the information here is enough to perform the ECE 2100 Lab III Exercise.</w:t>
      </w:r>
    </w:p>
    <w:p w:rsidR="00967D3D" w:rsidRPr="00967D3D" w:rsidRDefault="00967D3D" w:rsidP="00967D3D">
      <w:pPr>
        <w:rPr>
          <w:szCs w:val="32"/>
        </w:rPr>
      </w:pPr>
    </w:p>
    <w:p w:rsidR="00967D3D" w:rsidRPr="00967D3D" w:rsidRDefault="00967D3D" w:rsidP="00967D3D">
      <w:pPr>
        <w:rPr>
          <w:szCs w:val="32"/>
        </w:rPr>
      </w:pPr>
      <w:r w:rsidRPr="00967D3D">
        <w:rPr>
          <w:szCs w:val="32"/>
        </w:rPr>
        <w:t>Before doing Thevenin and Norton Equivalents, we discuss one other important topic: Source Transformations.</w:t>
      </w:r>
    </w:p>
    <w:p w:rsidR="00967D3D" w:rsidRPr="004636F7" w:rsidRDefault="00967D3D" w:rsidP="00967D3D">
      <w:pPr>
        <w:rPr>
          <w:szCs w:val="32"/>
        </w:rPr>
      </w:pPr>
    </w:p>
    <w:p w:rsidR="00967D3D" w:rsidRDefault="00967D3D" w:rsidP="00967D3D">
      <w:pPr>
        <w:rPr>
          <w:szCs w:val="32"/>
        </w:rPr>
      </w:pPr>
    </w:p>
    <w:p w:rsidR="004636F7" w:rsidRPr="004636F7" w:rsidRDefault="004636F7" w:rsidP="00967D3D">
      <w:pPr>
        <w:rPr>
          <w:szCs w:val="32"/>
        </w:rPr>
      </w:pPr>
    </w:p>
    <w:p w:rsidR="00967D3D" w:rsidRPr="003660CE" w:rsidRDefault="00967D3D" w:rsidP="00967D3D">
      <w:pPr>
        <w:rPr>
          <w:b/>
          <w:i/>
          <w:sz w:val="28"/>
          <w:szCs w:val="32"/>
        </w:rPr>
      </w:pPr>
      <w:r w:rsidRPr="003660CE">
        <w:rPr>
          <w:b/>
          <w:i/>
          <w:sz w:val="28"/>
          <w:szCs w:val="32"/>
        </w:rPr>
        <w:t>Source Transformations</w:t>
      </w:r>
    </w:p>
    <w:p w:rsidR="00967D3D" w:rsidRPr="003660CE" w:rsidRDefault="00967D3D" w:rsidP="00967D3D"/>
    <w:p w:rsidR="00967D3D" w:rsidRDefault="00967D3D" w:rsidP="00967D3D">
      <w:pPr>
        <w:rPr>
          <w:b/>
        </w:rPr>
      </w:pPr>
      <w:r w:rsidRPr="00967D3D">
        <w:rPr>
          <w:b/>
        </w:rPr>
        <w:t>Idea</w:t>
      </w:r>
    </w:p>
    <w:p w:rsidR="00967D3D" w:rsidRDefault="00967D3D" w:rsidP="00967D3D">
      <w:pPr>
        <w:rPr>
          <w:b/>
        </w:rPr>
      </w:pPr>
    </w:p>
    <w:p w:rsidR="00967D3D" w:rsidRDefault="00967D3D" w:rsidP="00967D3D">
      <w:r>
        <w:t>With respect to two particular terminals, called “a” and “b” in the circuits below, a voltage source in series with a resistance is equivalent to a current source in parallel with a resistance.</w:t>
      </w:r>
    </w:p>
    <w:p w:rsidR="00967D3D" w:rsidRDefault="00967D3D" w:rsidP="00967D3D"/>
    <w:p w:rsidR="00967D3D" w:rsidRDefault="00967D3D" w:rsidP="00967D3D">
      <w:pPr>
        <w:rPr>
          <w:b/>
        </w:rPr>
      </w:pPr>
      <w:r>
        <w:rPr>
          <w:b/>
        </w:rPr>
        <w:t>Discussion</w:t>
      </w:r>
    </w:p>
    <w:p w:rsidR="00967D3D" w:rsidRDefault="00967D3D" w:rsidP="00967D3D">
      <w:pPr>
        <w:rPr>
          <w:b/>
        </w:rPr>
      </w:pPr>
    </w:p>
    <w:p w:rsidR="00967D3D" w:rsidRPr="003660CE" w:rsidRDefault="00967D3D" w:rsidP="00967D3D">
      <w:r w:rsidRPr="003660CE">
        <w:t>The circuit</w:t>
      </w:r>
      <w:r>
        <w:t>s</w:t>
      </w:r>
      <w:r w:rsidRPr="003660CE">
        <w:t xml:space="preserve"> “1” and “2” below are </w:t>
      </w:r>
      <w:r w:rsidRPr="003660CE">
        <w:rPr>
          <w:b/>
          <w:i/>
        </w:rPr>
        <w:t xml:space="preserve">equivalent with respect to terminals </w:t>
      </w:r>
      <w:proofErr w:type="gramStart"/>
      <w:r w:rsidRPr="003660CE">
        <w:rPr>
          <w:b/>
          <w:i/>
        </w:rPr>
        <w:t>a and</w:t>
      </w:r>
      <w:proofErr w:type="gramEnd"/>
      <w:r w:rsidRPr="003660CE">
        <w:rPr>
          <w:b/>
          <w:i/>
        </w:rPr>
        <w:t xml:space="preserve"> b</w:t>
      </w:r>
      <w:r w:rsidRPr="003660CE">
        <w:t xml:space="preserve">, </w:t>
      </w:r>
      <w:r w:rsidRPr="003660CE">
        <w:rPr>
          <w:u w:val="single"/>
        </w:rPr>
        <w:t>provided</w:t>
      </w:r>
      <w:r w:rsidRPr="003660CE">
        <w:t xml:space="preserve"> that </w:t>
      </w:r>
      <w:proofErr w:type="spellStart"/>
      <w:r w:rsidRPr="000C5C6B">
        <w:rPr>
          <w:i/>
        </w:rPr>
        <w:t>v</w:t>
      </w:r>
      <w:r w:rsidRPr="000C5C6B">
        <w:rPr>
          <w:i/>
          <w:vertAlign w:val="subscript"/>
        </w:rPr>
        <w:t>s</w:t>
      </w:r>
      <w:proofErr w:type="spellEnd"/>
      <w:r w:rsidRPr="000C5C6B">
        <w:rPr>
          <w:i/>
        </w:rPr>
        <w:t xml:space="preserve">, </w:t>
      </w:r>
      <w:proofErr w:type="spellStart"/>
      <w:r w:rsidRPr="000C5C6B">
        <w:rPr>
          <w:i/>
        </w:rPr>
        <w:t>R</w:t>
      </w:r>
      <w:r w:rsidRPr="000C5C6B">
        <w:rPr>
          <w:i/>
          <w:vertAlign w:val="subscript"/>
        </w:rPr>
        <w:t>s</w:t>
      </w:r>
      <w:proofErr w:type="spellEnd"/>
      <w:r w:rsidRPr="000C5C6B">
        <w:rPr>
          <w:i/>
        </w:rPr>
        <w:t>, i</w:t>
      </w:r>
      <w:r w:rsidRPr="000C5C6B">
        <w:rPr>
          <w:i/>
          <w:vertAlign w:val="subscript"/>
        </w:rPr>
        <w:t>s</w:t>
      </w:r>
      <w:r w:rsidRPr="000C5C6B">
        <w:rPr>
          <w:i/>
        </w:rPr>
        <w:t xml:space="preserve">, </w:t>
      </w:r>
      <w:r w:rsidRPr="000C5C6B">
        <w:t>and</w:t>
      </w:r>
      <w:r w:rsidRPr="000C5C6B">
        <w:rPr>
          <w:i/>
        </w:rPr>
        <w:t xml:space="preserve"> </w:t>
      </w:r>
      <w:proofErr w:type="spellStart"/>
      <w:r w:rsidRPr="000C5C6B">
        <w:rPr>
          <w:i/>
        </w:rPr>
        <w:t>R</w:t>
      </w:r>
      <w:r w:rsidRPr="000C5C6B">
        <w:rPr>
          <w:i/>
          <w:vertAlign w:val="subscript"/>
        </w:rPr>
        <w:t>p</w:t>
      </w:r>
      <w:proofErr w:type="spellEnd"/>
      <w:r w:rsidRPr="003660CE">
        <w:t xml:space="preserve"> are related to one another in a particular way. If they are, then a resistor R</w:t>
      </w:r>
      <w:r w:rsidRPr="003660CE">
        <w:rPr>
          <w:vertAlign w:val="subscript"/>
        </w:rPr>
        <w:t>L</w:t>
      </w:r>
      <w:r w:rsidRPr="003660CE">
        <w:t xml:space="preserve"> connected to terminals </w:t>
      </w:r>
      <w:proofErr w:type="gramStart"/>
      <w:r w:rsidRPr="003660CE">
        <w:t>a and</w:t>
      </w:r>
      <w:proofErr w:type="gramEnd"/>
      <w:r w:rsidRPr="003660CE">
        <w:t xml:space="preserve"> b will have the same voltage across it (and the same current through it) whether it is connected to circuit 1 or to circuit 2</w:t>
      </w:r>
      <w:r>
        <w:t>.</w:t>
      </w:r>
    </w:p>
    <w:p w:rsidR="00967D3D" w:rsidRPr="003660CE" w:rsidRDefault="000A1EBE" w:rsidP="00967D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9.05pt;width:451pt;height:150.35pt;z-index:251659264;mso-position-horizontal-relative:text;mso-position-vertical-relative:text">
            <v:imagedata r:id="rId6" o:title=""/>
            <w10:wrap type="square"/>
          </v:shape>
          <o:OLEObject Type="Embed" ProgID="Visio.Drawing.11" ShapeID="_x0000_s1026" DrawAspect="Content" ObjectID="_1423456939" r:id="rId7"/>
        </w:pict>
      </w:r>
    </w:p>
    <w:p w:rsidR="00967D3D" w:rsidRPr="003660CE" w:rsidRDefault="00967D3D" w:rsidP="00967D3D">
      <w:pPr>
        <w:ind w:firstLine="720"/>
        <w:rPr>
          <w:b/>
          <w:szCs w:val="28"/>
          <w:u w:val="single"/>
        </w:rPr>
      </w:pPr>
    </w:p>
    <w:p w:rsidR="00967D3D" w:rsidRDefault="00967D3D" w:rsidP="00967D3D">
      <w:r w:rsidRPr="003660CE">
        <w:t xml:space="preserve">Note that it is very important to include the qualifier </w:t>
      </w:r>
      <w:r w:rsidRPr="003660CE">
        <w:rPr>
          <w:i/>
        </w:rPr>
        <w:t xml:space="preserve">with respect to terminals </w:t>
      </w:r>
      <w:proofErr w:type="gramStart"/>
      <w:r w:rsidRPr="003660CE">
        <w:rPr>
          <w:i/>
        </w:rPr>
        <w:t>a and</w:t>
      </w:r>
      <w:proofErr w:type="gramEnd"/>
      <w:r w:rsidRPr="003660CE">
        <w:rPr>
          <w:i/>
        </w:rPr>
        <w:t xml:space="preserve"> b</w:t>
      </w:r>
      <w:r w:rsidRPr="003660CE">
        <w:t>, because two circuits are not necessarily equivalent at just any two terminals.</w:t>
      </w:r>
    </w:p>
    <w:p w:rsidR="00967D3D" w:rsidRDefault="00967D3D" w:rsidP="00967D3D"/>
    <w:p w:rsidR="00967D3D" w:rsidRPr="00967D3D" w:rsidRDefault="00967D3D" w:rsidP="00967D3D">
      <w:pPr>
        <w:rPr>
          <w:b/>
        </w:rPr>
      </w:pPr>
      <w:r w:rsidRPr="00967D3D">
        <w:rPr>
          <w:b/>
        </w:rPr>
        <w:t>Calculation</w:t>
      </w:r>
    </w:p>
    <w:p w:rsidR="00967D3D" w:rsidRDefault="00967D3D" w:rsidP="00967D3D">
      <w:pPr>
        <w:rPr>
          <w:b/>
          <w:u w:val="single"/>
        </w:rPr>
      </w:pPr>
    </w:p>
    <w:p w:rsidR="00967D3D" w:rsidRPr="002375E7" w:rsidRDefault="00967D3D" w:rsidP="00967D3D">
      <w:r>
        <w:t xml:space="preserve">If the parameters are related correctly, a voltage source in series with a resistor can be replaced with a current source in parallel with a resistor. The relationships that must exist between the parameters </w:t>
      </w:r>
      <w:proofErr w:type="spellStart"/>
      <w:r w:rsidRPr="00967D3D">
        <w:rPr>
          <w:i/>
        </w:rPr>
        <w:t>v</w:t>
      </w:r>
      <w:r w:rsidRPr="00967D3D">
        <w:rPr>
          <w:vertAlign w:val="subscript"/>
        </w:rPr>
        <w:t>S</w:t>
      </w:r>
      <w:proofErr w:type="spellEnd"/>
      <w:r>
        <w:t xml:space="preserve">, </w:t>
      </w:r>
      <w:proofErr w:type="spellStart"/>
      <w:r w:rsidRPr="00967D3D">
        <w:rPr>
          <w:i/>
        </w:rPr>
        <w:t>i</w:t>
      </w:r>
      <w:r w:rsidRPr="00967D3D">
        <w:rPr>
          <w:vertAlign w:val="subscript"/>
        </w:rPr>
        <w:t>S</w:t>
      </w:r>
      <w:proofErr w:type="spellEnd"/>
      <w:r>
        <w:t>, R</w:t>
      </w:r>
      <w:r w:rsidRPr="00967D3D">
        <w:rPr>
          <w:vertAlign w:val="subscript"/>
        </w:rPr>
        <w:t>S</w:t>
      </w:r>
      <w:r>
        <w:t>, and R</w:t>
      </w:r>
      <w:r w:rsidRPr="00967D3D">
        <w:rPr>
          <w:vertAlign w:val="subscript"/>
        </w:rPr>
        <w:t>P</w:t>
      </w:r>
      <w:r>
        <w:t xml:space="preserve"> are as follows.</w:t>
      </w:r>
    </w:p>
    <w:p w:rsidR="00967D3D" w:rsidRPr="00AA3AC1" w:rsidRDefault="00967D3D" w:rsidP="00967D3D">
      <w:pPr>
        <w:ind w:firstLine="720"/>
        <w:rPr>
          <w:sz w:val="28"/>
          <w:szCs w:val="28"/>
        </w:rPr>
      </w:pPr>
    </w:p>
    <w:p w:rsidR="00967D3D" w:rsidRDefault="00967D3D" w:rsidP="00967D3D">
      <w:r>
        <w:t xml:space="preserve">A voltage source </w:t>
      </w:r>
      <w:proofErr w:type="spellStart"/>
      <w:r>
        <w:t>v</w:t>
      </w:r>
      <w:r>
        <w:rPr>
          <w:vertAlign w:val="subscript"/>
        </w:rPr>
        <w:t>S</w:t>
      </w:r>
      <w:proofErr w:type="spellEnd"/>
      <w:r>
        <w:t xml:space="preserve"> in series with a resistor R</w:t>
      </w:r>
      <w:r w:rsidRPr="00DE435E">
        <w:rPr>
          <w:vertAlign w:val="subscript"/>
        </w:rPr>
        <w:t>S</w:t>
      </w:r>
      <w:r>
        <w:t xml:space="preserve"> will be equivalent to a current source </w:t>
      </w:r>
      <w:proofErr w:type="spellStart"/>
      <w:r>
        <w:t>i</w:t>
      </w:r>
      <w:r w:rsidRPr="00DE435E">
        <w:rPr>
          <w:vertAlign w:val="subscript"/>
        </w:rPr>
        <w:t>S</w:t>
      </w:r>
      <w:proofErr w:type="spellEnd"/>
      <w:r>
        <w:t xml:space="preserve"> in parallel with a resistor R</w:t>
      </w:r>
      <w:r w:rsidRPr="00DE435E">
        <w:rPr>
          <w:vertAlign w:val="subscript"/>
        </w:rPr>
        <w:t>P</w:t>
      </w:r>
      <w:r>
        <w:t xml:space="preserve"> if</w:t>
      </w:r>
    </w:p>
    <w:p w:rsidR="00967D3D" w:rsidRDefault="00967D3D" w:rsidP="00967D3D"/>
    <w:p w:rsidR="00967D3D" w:rsidRDefault="00967D3D" w:rsidP="00967D3D">
      <w:pPr>
        <w:jc w:val="center"/>
      </w:pPr>
      <w:r w:rsidRPr="00DE435E">
        <w:rPr>
          <w:position w:val="-12"/>
        </w:rPr>
        <w:object w:dxaOrig="1040" w:dyaOrig="380">
          <v:shape id="_x0000_i1025" type="#_x0000_t75" style="width:52.5pt;height:18.75pt" o:ole="">
            <v:imagedata r:id="rId8" o:title=""/>
          </v:shape>
          <o:OLEObject Type="Embed" ProgID="Equation.DSMT4" ShapeID="_x0000_i1025" DrawAspect="Content" ObjectID="_1423456930" r:id="rId9"/>
        </w:object>
      </w:r>
      <w:r>
        <w:t xml:space="preserve"> </w:t>
      </w:r>
      <w:proofErr w:type="gramStart"/>
      <w:r>
        <w:t xml:space="preserve">and </w:t>
      </w:r>
      <w:proofErr w:type="gramEnd"/>
      <w:r w:rsidRPr="00DE435E">
        <w:rPr>
          <w:position w:val="-12"/>
        </w:rPr>
        <w:object w:dxaOrig="920" w:dyaOrig="380">
          <v:shape id="_x0000_i1026" type="#_x0000_t75" style="width:45.75pt;height:18.75pt" o:ole="">
            <v:imagedata r:id="rId10" o:title=""/>
          </v:shape>
          <o:OLEObject Type="Embed" ProgID="Equation.DSMT4" ShapeID="_x0000_i1026" DrawAspect="Content" ObjectID="_1423456931" r:id="rId11"/>
        </w:object>
      </w:r>
      <w:r>
        <w:t>.</w:t>
      </w:r>
    </w:p>
    <w:p w:rsidR="00967D3D" w:rsidRDefault="00967D3D" w:rsidP="00967D3D"/>
    <w:p w:rsidR="00967D3D" w:rsidRDefault="00967D3D" w:rsidP="00967D3D">
      <w:r>
        <w:t xml:space="preserve">This is the </w:t>
      </w:r>
      <w:r w:rsidRPr="00F04526">
        <w:rPr>
          <w:b/>
          <w:i/>
        </w:rPr>
        <w:t>source transformation theorem</w:t>
      </w:r>
      <w:r>
        <w:t>.</w:t>
      </w:r>
    </w:p>
    <w:p w:rsidR="00967D3D" w:rsidRDefault="00967D3D" w:rsidP="00967D3D"/>
    <w:p w:rsidR="00967D3D" w:rsidRDefault="00967D3D" w:rsidP="00967D3D"/>
    <w:p w:rsidR="00967D3D" w:rsidRDefault="00967D3D" w:rsidP="00967D3D"/>
    <w:p w:rsidR="00967D3D" w:rsidRPr="00EC0189" w:rsidRDefault="00967D3D" w:rsidP="00967D3D">
      <w:pPr>
        <w:rPr>
          <w:b/>
          <w:i/>
          <w:sz w:val="28"/>
          <w:szCs w:val="28"/>
        </w:rPr>
      </w:pPr>
      <w:r w:rsidRPr="00EC0189">
        <w:rPr>
          <w:b/>
          <w:i/>
          <w:sz w:val="28"/>
          <w:szCs w:val="28"/>
        </w:rPr>
        <w:t>Thevenin and Norton Equivalents</w:t>
      </w:r>
    </w:p>
    <w:p w:rsidR="00967D3D" w:rsidRDefault="00967D3D" w:rsidP="00967D3D"/>
    <w:p w:rsidR="00967D3D" w:rsidRPr="00967D3D" w:rsidRDefault="00967D3D" w:rsidP="00967D3D">
      <w:pPr>
        <w:rPr>
          <w:b/>
        </w:rPr>
      </w:pPr>
      <w:r w:rsidRPr="00967D3D">
        <w:rPr>
          <w:b/>
        </w:rPr>
        <w:t>Idea</w:t>
      </w:r>
    </w:p>
    <w:p w:rsidR="00967D3D" w:rsidRDefault="00967D3D" w:rsidP="00967D3D"/>
    <w:p w:rsidR="00967D3D" w:rsidRDefault="00967D3D" w:rsidP="00967D3D">
      <w:r w:rsidRPr="0012641E">
        <w:t xml:space="preserve">The behavior of any linear circuit at a specific pair of terminals in a circuit may be modeled by a voltage source </w:t>
      </w:r>
      <w:proofErr w:type="spellStart"/>
      <w:r w:rsidRPr="0012641E">
        <w:t>v</w:t>
      </w:r>
      <w:r w:rsidRPr="0012641E">
        <w:rPr>
          <w:vertAlign w:val="subscript"/>
        </w:rPr>
        <w:t>TH</w:t>
      </w:r>
      <w:proofErr w:type="spellEnd"/>
      <w:r w:rsidRPr="0012641E">
        <w:t xml:space="preserve"> in series with a resistor R</w:t>
      </w:r>
      <w:r w:rsidRPr="0012641E">
        <w:rPr>
          <w:vertAlign w:val="subscript"/>
        </w:rPr>
        <w:t>TH</w:t>
      </w:r>
      <w:r>
        <w:br/>
      </w:r>
    </w:p>
    <w:p w:rsidR="00967D3D" w:rsidRDefault="00967D3D" w:rsidP="00967D3D">
      <w:r>
        <w:t>What we are saying is this:</w:t>
      </w:r>
    </w:p>
    <w:p w:rsidR="00967D3D" w:rsidRDefault="00967D3D" w:rsidP="00967D3D"/>
    <w:p w:rsidR="00967D3D" w:rsidRDefault="00967D3D" w:rsidP="00967D3D">
      <w:pPr>
        <w:jc w:val="center"/>
      </w:pPr>
      <w:r>
        <w:object w:dxaOrig="8389" w:dyaOrig="2421">
          <v:shape id="_x0000_i1027" type="#_x0000_t75" style="width:419.25pt;height:121.5pt" o:ole="">
            <v:imagedata r:id="rId12" o:title=""/>
          </v:shape>
          <o:OLEObject Type="Embed" ProgID="Visio.Drawing.11" ShapeID="_x0000_i1027" DrawAspect="Content" ObjectID="_1423456932" r:id="rId13"/>
        </w:object>
      </w:r>
    </w:p>
    <w:p w:rsidR="00967D3D" w:rsidRDefault="00967D3D" w:rsidP="00967D3D"/>
    <w:p w:rsidR="00967D3D" w:rsidRPr="00967D3D" w:rsidRDefault="00967D3D" w:rsidP="00967D3D">
      <w:pPr>
        <w:rPr>
          <w:b/>
        </w:rPr>
      </w:pPr>
      <w:r w:rsidRPr="00967D3D">
        <w:rPr>
          <w:b/>
        </w:rPr>
        <w:t>Calculation</w:t>
      </w:r>
    </w:p>
    <w:p w:rsidR="00967D3D" w:rsidRPr="00040197" w:rsidRDefault="00967D3D" w:rsidP="00967D3D"/>
    <w:p w:rsidR="00967D3D" w:rsidRDefault="00967D3D" w:rsidP="00967D3D">
      <w:r w:rsidRPr="00040197">
        <w:t>The box in the figure below contains an arbitrary linear circuit.</w:t>
      </w:r>
      <w:r>
        <w:t xml:space="preserve"> We have labeled terminals a) and b). On the right, we have an open circuit at a), b), resulting in an open-circuit voltage </w:t>
      </w:r>
      <w:proofErr w:type="spellStart"/>
      <w:r w:rsidRPr="0012641E">
        <w:rPr>
          <w:i/>
        </w:rPr>
        <w:t>v</w:t>
      </w:r>
      <w:r>
        <w:rPr>
          <w:i/>
          <w:vertAlign w:val="subscript"/>
        </w:rPr>
        <w:t>OC</w:t>
      </w:r>
      <w:r>
        <w:t>.</w:t>
      </w:r>
      <w:proofErr w:type="spellEnd"/>
      <w:r>
        <w:t xml:space="preserve"> (We can think of this as an infinite load resistance.) On the left, we have connected a short to the terminals, resulting in </w:t>
      </w:r>
      <w:proofErr w:type="gramStart"/>
      <w:r>
        <w:t>a short-circuit</w:t>
      </w:r>
      <w:proofErr w:type="gramEnd"/>
      <w:r>
        <w:t xml:space="preserve"> current </w:t>
      </w:r>
      <w:proofErr w:type="spellStart"/>
      <w:r>
        <w:t>i</w:t>
      </w:r>
      <w:r w:rsidRPr="00040197">
        <w:rPr>
          <w:vertAlign w:val="subscript"/>
        </w:rPr>
        <w:t>sc</w:t>
      </w:r>
      <w:proofErr w:type="spellEnd"/>
      <w:r>
        <w:t>.</w:t>
      </w:r>
    </w:p>
    <w:p w:rsidR="00967D3D" w:rsidRDefault="00967D3D" w:rsidP="00967D3D"/>
    <w:p w:rsidR="00967D3D" w:rsidRDefault="00967D3D" w:rsidP="00967D3D"/>
    <w:p w:rsidR="00967D3D" w:rsidRDefault="00967D3D" w:rsidP="00967D3D">
      <w:pPr>
        <w:jc w:val="center"/>
      </w:pPr>
      <w:r>
        <w:object w:dxaOrig="8427" w:dyaOrig="2196">
          <v:shape id="_x0000_i1028" type="#_x0000_t75" style="width:394.5pt;height:102.75pt" o:ole="">
            <v:imagedata r:id="rId14" o:title=""/>
          </v:shape>
          <o:OLEObject Type="Embed" ProgID="Visio.Drawing.11" ShapeID="_x0000_i1028" DrawAspect="Content" ObjectID="_1423456933" r:id="rId15"/>
        </w:object>
      </w:r>
    </w:p>
    <w:p w:rsidR="00967D3D" w:rsidRDefault="00967D3D" w:rsidP="00967D3D"/>
    <w:p w:rsidR="00967D3D" w:rsidRDefault="00967D3D" w:rsidP="00967D3D"/>
    <w:p w:rsidR="00967D3D" w:rsidRDefault="00967D3D" w:rsidP="00967D3D">
      <w:r>
        <w:lastRenderedPageBreak/>
        <w:t xml:space="preserve">By comparing the drawing on the left with the Thevenin Equivalent drawing above, it should be clear that </w:t>
      </w:r>
    </w:p>
    <w:p w:rsidR="00967D3D" w:rsidRDefault="00967D3D" w:rsidP="00967D3D"/>
    <w:p w:rsidR="00967D3D" w:rsidRPr="009A40CF" w:rsidRDefault="00967D3D" w:rsidP="00967D3D">
      <w:pPr>
        <w:pStyle w:val="MTDisplayEquation"/>
      </w:pPr>
      <w:r>
        <w:tab/>
      </w:r>
      <w:r w:rsidRPr="009A40CF">
        <w:rPr>
          <w:position w:val="-12"/>
        </w:rPr>
        <w:object w:dxaOrig="1060" w:dyaOrig="380">
          <v:shape id="_x0000_i1029" type="#_x0000_t75" style="width:53.25pt;height:18.75pt" o:ole="">
            <v:imagedata r:id="rId16" o:title=""/>
          </v:shape>
          <o:OLEObject Type="Embed" ProgID="Equation.DSMT4" ShapeID="_x0000_i1029" DrawAspect="Content" ObjectID="_1423456934" r:id="rId17"/>
        </w:object>
      </w:r>
      <w:r>
        <w:t xml:space="preserve"> .</w:t>
      </w:r>
    </w:p>
    <w:p w:rsidR="00967D3D" w:rsidRDefault="00967D3D" w:rsidP="00967D3D"/>
    <w:p w:rsidR="00967D3D" w:rsidRDefault="00967D3D" w:rsidP="00967D3D">
      <w:r>
        <w:t>By comparing the drawing on the left with the Thevenin Equivalent, we can see also that</w:t>
      </w:r>
    </w:p>
    <w:p w:rsidR="00967D3D" w:rsidRDefault="00967D3D" w:rsidP="00967D3D"/>
    <w:p w:rsidR="00967D3D" w:rsidRDefault="00967D3D" w:rsidP="00967D3D">
      <w:pPr>
        <w:pStyle w:val="MTDisplayEquation"/>
      </w:pPr>
      <w:r>
        <w:tab/>
      </w:r>
      <w:r w:rsidRPr="009A40CF">
        <w:rPr>
          <w:position w:val="-34"/>
        </w:rPr>
        <w:object w:dxaOrig="1100" w:dyaOrig="780">
          <v:shape id="_x0000_i1030" type="#_x0000_t75" style="width:54.75pt;height:39pt" o:ole="">
            <v:imagedata r:id="rId18" o:title=""/>
          </v:shape>
          <o:OLEObject Type="Embed" ProgID="Equation.DSMT4" ShapeID="_x0000_i1030" DrawAspect="Content" ObjectID="_1423456935" r:id="rId19"/>
        </w:object>
      </w:r>
      <w:r>
        <w:t xml:space="preserve"> .</w:t>
      </w:r>
    </w:p>
    <w:p w:rsidR="00967D3D" w:rsidRPr="004B0C91" w:rsidRDefault="00967D3D" w:rsidP="00967D3D"/>
    <w:p w:rsidR="00967D3D" w:rsidRDefault="00967D3D" w:rsidP="00967D3D">
      <w:r>
        <w:t>So if we know the open-circuit voltage and the short-circuit current at the terminals a), b), we can find the Thevenin Equivalent:</w:t>
      </w:r>
    </w:p>
    <w:p w:rsidR="00967D3D" w:rsidRDefault="00967D3D" w:rsidP="00967D3D">
      <w:pPr>
        <w:jc w:val="center"/>
      </w:pPr>
      <w:r>
        <w:br/>
      </w:r>
      <w:r w:rsidRPr="009A40CF">
        <w:rPr>
          <w:position w:val="-12"/>
        </w:rPr>
        <w:object w:dxaOrig="1060" w:dyaOrig="380">
          <v:shape id="_x0000_i1031" type="#_x0000_t75" style="width:53.25pt;height:18.75pt" o:ole="">
            <v:imagedata r:id="rId20" o:title=""/>
          </v:shape>
          <o:OLEObject Type="Embed" ProgID="Equation.DSMT4" ShapeID="_x0000_i1031" DrawAspect="Content" ObjectID="_1423456936" r:id="rId21"/>
        </w:object>
      </w:r>
      <w:r>
        <w:t xml:space="preserve">   </w:t>
      </w:r>
      <w:proofErr w:type="gramStart"/>
      <w:r>
        <w:t>and</w:t>
      </w:r>
      <w:proofErr w:type="gramEnd"/>
      <w:r>
        <w:t xml:space="preserve">   </w:t>
      </w:r>
      <w:r w:rsidRPr="009A40CF">
        <w:rPr>
          <w:position w:val="-34"/>
        </w:rPr>
        <w:object w:dxaOrig="1180" w:dyaOrig="780">
          <v:shape id="_x0000_i1032" type="#_x0000_t75" style="width:59.25pt;height:39pt" o:ole="">
            <v:imagedata r:id="rId22" o:title=""/>
          </v:shape>
          <o:OLEObject Type="Embed" ProgID="Equation.DSMT4" ShapeID="_x0000_i1032" DrawAspect="Content" ObjectID="_1423456937" r:id="rId23"/>
        </w:object>
      </w:r>
      <w:r>
        <w:t xml:space="preserve"> .</w:t>
      </w:r>
    </w:p>
    <w:p w:rsidR="00967D3D" w:rsidRDefault="00967D3D" w:rsidP="00967D3D">
      <w:pPr>
        <w:jc w:val="center"/>
      </w:pPr>
    </w:p>
    <w:p w:rsidR="00967D3D" w:rsidRDefault="00967D3D" w:rsidP="00967D3D">
      <w:r>
        <w:t xml:space="preserve">If this were an experiment, we could measure </w:t>
      </w:r>
      <w:proofErr w:type="spellStart"/>
      <w:r w:rsidRPr="0012641E">
        <w:rPr>
          <w:i/>
        </w:rPr>
        <w:t>v</w:t>
      </w:r>
      <w:r w:rsidRPr="0012641E">
        <w:rPr>
          <w:i/>
          <w:vertAlign w:val="subscript"/>
        </w:rPr>
        <w:t>OC</w:t>
      </w:r>
      <w:proofErr w:type="spellEnd"/>
      <w:r>
        <w:t xml:space="preserve"> and </w:t>
      </w:r>
      <w:proofErr w:type="spellStart"/>
      <w:r w:rsidRPr="0012641E">
        <w:rPr>
          <w:i/>
        </w:rPr>
        <w:t>i</w:t>
      </w:r>
      <w:r w:rsidRPr="0012641E">
        <w:rPr>
          <w:i/>
          <w:vertAlign w:val="subscript"/>
        </w:rPr>
        <w:t>SC</w:t>
      </w:r>
      <w:proofErr w:type="spellEnd"/>
      <w:r>
        <w:t>. If it is an analytical problem, we can calculate them using our knowledge of circuit theory.</w:t>
      </w:r>
    </w:p>
    <w:p w:rsidR="00967D3D" w:rsidRDefault="00967D3D" w:rsidP="00967D3D"/>
    <w:p w:rsidR="00967D3D" w:rsidRDefault="00967D3D" w:rsidP="00967D3D">
      <w:r>
        <w:t>In Lab III, we will measure and calculate the Thevenin Equivalents for two circuits. We will connect resistors to the terminals of those circuits and measure the current through them, and then we will compare those measurements with calculations predicted by the Thevenin Equivalent. This is illustrated below.</w:t>
      </w:r>
    </w:p>
    <w:p w:rsidR="00967D3D" w:rsidRDefault="00967D3D" w:rsidP="00967D3D">
      <w:pPr>
        <w:jc w:val="center"/>
      </w:pPr>
      <w:r>
        <w:object w:dxaOrig="9003" w:dyaOrig="2451">
          <v:shape id="_x0000_i1033" type="#_x0000_t75" style="width:450pt;height:122.25pt" o:ole="">
            <v:imagedata r:id="rId24" o:title=""/>
          </v:shape>
          <o:OLEObject Type="Embed" ProgID="Visio.Drawing.11" ShapeID="_x0000_i1033" DrawAspect="Content" ObjectID="_1423456938" r:id="rId25"/>
        </w:object>
      </w:r>
    </w:p>
    <w:p w:rsidR="00967D3D" w:rsidRDefault="00967D3D" w:rsidP="00967D3D"/>
    <w:sectPr w:rsidR="00967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65B0"/>
    <w:multiLevelType w:val="hybridMultilevel"/>
    <w:tmpl w:val="B2A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3D"/>
    <w:rsid w:val="000A1EBE"/>
    <w:rsid w:val="004636F7"/>
    <w:rsid w:val="00967D3D"/>
    <w:rsid w:val="00A514A6"/>
    <w:rsid w:val="00E3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3D"/>
    <w:pPr>
      <w:ind w:left="720"/>
      <w:contextualSpacing/>
    </w:pPr>
  </w:style>
  <w:style w:type="paragraph" w:customStyle="1" w:styleId="MTDisplayEquation">
    <w:name w:val="MTDisplayEquation"/>
    <w:basedOn w:val="Normal"/>
    <w:next w:val="Normal"/>
    <w:link w:val="MTDisplayEquationChar"/>
    <w:rsid w:val="00967D3D"/>
    <w:pPr>
      <w:tabs>
        <w:tab w:val="center" w:pos="4680"/>
        <w:tab w:val="right" w:pos="9360"/>
      </w:tabs>
    </w:pPr>
    <w:rPr>
      <w:szCs w:val="28"/>
    </w:rPr>
  </w:style>
  <w:style w:type="character" w:customStyle="1" w:styleId="MTDisplayEquationChar">
    <w:name w:val="MTDisplayEquation Char"/>
    <w:basedOn w:val="DefaultParagraphFont"/>
    <w:link w:val="MTDisplayEquation"/>
    <w:rsid w:val="00967D3D"/>
    <w:rPr>
      <w:rFonts w:ascii="Times New Roman" w:eastAsia="Times New Roman"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3D"/>
    <w:pPr>
      <w:ind w:left="720"/>
      <w:contextualSpacing/>
    </w:pPr>
  </w:style>
  <w:style w:type="paragraph" w:customStyle="1" w:styleId="MTDisplayEquation">
    <w:name w:val="MTDisplayEquation"/>
    <w:basedOn w:val="Normal"/>
    <w:next w:val="Normal"/>
    <w:link w:val="MTDisplayEquationChar"/>
    <w:rsid w:val="00967D3D"/>
    <w:pPr>
      <w:tabs>
        <w:tab w:val="center" w:pos="4680"/>
        <w:tab w:val="right" w:pos="9360"/>
      </w:tabs>
    </w:pPr>
    <w:rPr>
      <w:szCs w:val="28"/>
    </w:rPr>
  </w:style>
  <w:style w:type="character" w:customStyle="1" w:styleId="MTDisplayEquationChar">
    <w:name w:val="MTDisplayEquation Char"/>
    <w:basedOn w:val="DefaultParagraphFont"/>
    <w:link w:val="MTDisplayEquation"/>
    <w:rsid w:val="00967D3D"/>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Trombetta, Len</dc:creator>
  <cp:lastModifiedBy>Trombetta, Len</cp:lastModifiedBy>
  <cp:revision>2</cp:revision>
  <cp:lastPrinted>2013-02-27T13:54:00Z</cp:lastPrinted>
  <dcterms:created xsi:type="dcterms:W3CDTF">2013-02-27T13:39:00Z</dcterms:created>
  <dcterms:modified xsi:type="dcterms:W3CDTF">2013-02-27T13:54:00Z</dcterms:modified>
</cp:coreProperties>
</file>